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F91" w:rsidRDefault="00835F9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835F91" w:rsidRDefault="00835F91">
      <w:pPr>
        <w:pStyle w:val="ConsPlusNormal"/>
        <w:jc w:val="both"/>
        <w:outlineLvl w:val="0"/>
      </w:pPr>
    </w:p>
    <w:p w:rsidR="00835F91" w:rsidRDefault="00835F91">
      <w:pPr>
        <w:pStyle w:val="ConsPlusTitle"/>
        <w:jc w:val="center"/>
        <w:outlineLvl w:val="0"/>
      </w:pPr>
      <w:r>
        <w:t>ПРАВИТЕЛЬСТВО КАБАРДИНО-БАЛКАРСКОЙ РЕСПУБЛИКИ</w:t>
      </w:r>
    </w:p>
    <w:p w:rsidR="00835F91" w:rsidRDefault="00835F91">
      <w:pPr>
        <w:pStyle w:val="ConsPlusTitle"/>
        <w:jc w:val="center"/>
      </w:pPr>
    </w:p>
    <w:p w:rsidR="00835F91" w:rsidRDefault="00835F91">
      <w:pPr>
        <w:pStyle w:val="ConsPlusTitle"/>
        <w:jc w:val="center"/>
      </w:pPr>
      <w:r>
        <w:t>РАСПОРЯЖЕНИЕ</w:t>
      </w:r>
    </w:p>
    <w:p w:rsidR="00835F91" w:rsidRDefault="00835F91">
      <w:pPr>
        <w:pStyle w:val="ConsPlusTitle"/>
        <w:jc w:val="center"/>
      </w:pPr>
      <w:r>
        <w:t>от 25 июля 2022 г. N 350-рп</w:t>
      </w: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7</w:t>
        </w:r>
      </w:hyperlink>
      <w:r>
        <w:t xml:space="preserve"> Закона Кабардино-Балкарской Республики от 28 июля 2002 г. </w:t>
      </w:r>
      <w:r w:rsidR="00A53E2D">
        <w:br/>
      </w:r>
      <w:bookmarkStart w:id="0" w:name="_GoBack"/>
      <w:bookmarkEnd w:id="0"/>
      <w:r>
        <w:t>N 49-РЗ "О приватизации государственного имущества Кабардино-Балкарской Республики":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 xml:space="preserve">1. Утвердить прилагаемый Прогнозный </w:t>
      </w:r>
      <w:hyperlink w:anchor="P25">
        <w:r>
          <w:rPr>
            <w:color w:val="0000FF"/>
          </w:rPr>
          <w:t>план</w:t>
        </w:r>
      </w:hyperlink>
      <w:r>
        <w:t xml:space="preserve"> (программу) приватизации государственного имущества Кабардино-Балкарской Республики на 2023 год.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 xml:space="preserve">2. Министерству земельных и имущественных отношений Кабардино-Балкарской Республики обеспечить в установленном порядке реализацию Прогнозного </w:t>
      </w:r>
      <w:hyperlink w:anchor="P25">
        <w:r>
          <w:rPr>
            <w:color w:val="0000FF"/>
          </w:rPr>
          <w:t>плана</w:t>
        </w:r>
      </w:hyperlink>
      <w:r>
        <w:t xml:space="preserve"> (программы) приватизации государственного имущества Кабардино-Балкарской Республики на 2023 год.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 xml:space="preserve">3. Контроль за исполнением настоящего распоряжения возложить на первого заместителя Председателя Правительства Кабардино-Балкарской Республики </w:t>
      </w:r>
      <w:proofErr w:type="spellStart"/>
      <w:r>
        <w:t>Кунижева</w:t>
      </w:r>
      <w:proofErr w:type="spellEnd"/>
      <w:r>
        <w:t xml:space="preserve"> М.А.</w:t>
      </w: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jc w:val="right"/>
      </w:pPr>
      <w:r>
        <w:t>Председатель Правительства</w:t>
      </w:r>
    </w:p>
    <w:p w:rsidR="00835F91" w:rsidRDefault="00835F91">
      <w:pPr>
        <w:pStyle w:val="ConsPlusNormal"/>
        <w:jc w:val="right"/>
      </w:pPr>
      <w:r>
        <w:t>Кабардино-Балкарской Республики</w:t>
      </w:r>
    </w:p>
    <w:p w:rsidR="00835F91" w:rsidRDefault="00835F91">
      <w:pPr>
        <w:pStyle w:val="ConsPlusNormal"/>
        <w:jc w:val="right"/>
      </w:pPr>
      <w:r>
        <w:t>А.МУСУКОВ</w:t>
      </w: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jc w:val="right"/>
        <w:outlineLvl w:val="0"/>
      </w:pPr>
      <w:r>
        <w:t>Утвержден</w:t>
      </w:r>
    </w:p>
    <w:p w:rsidR="00835F91" w:rsidRDefault="00835F91">
      <w:pPr>
        <w:pStyle w:val="ConsPlusNormal"/>
        <w:jc w:val="right"/>
      </w:pPr>
      <w:r>
        <w:t>распоряжением</w:t>
      </w:r>
    </w:p>
    <w:p w:rsidR="00835F91" w:rsidRDefault="00835F91">
      <w:pPr>
        <w:pStyle w:val="ConsPlusNormal"/>
        <w:jc w:val="right"/>
      </w:pPr>
      <w:r>
        <w:t>Правительства</w:t>
      </w:r>
    </w:p>
    <w:p w:rsidR="00835F91" w:rsidRDefault="00835F91">
      <w:pPr>
        <w:pStyle w:val="ConsPlusNormal"/>
        <w:jc w:val="right"/>
      </w:pPr>
      <w:r>
        <w:t>Кабардино-Балкарской Республики</w:t>
      </w:r>
    </w:p>
    <w:p w:rsidR="00835F91" w:rsidRDefault="00835F91">
      <w:pPr>
        <w:pStyle w:val="ConsPlusNormal"/>
        <w:jc w:val="right"/>
      </w:pPr>
      <w:r>
        <w:t>от 25 июля 2022 г. N 350-рп</w:t>
      </w: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Title"/>
        <w:jc w:val="center"/>
      </w:pPr>
      <w:bookmarkStart w:id="1" w:name="P25"/>
      <w:bookmarkEnd w:id="1"/>
      <w:r>
        <w:t>ПРОГНОЗНЫЙ ПЛАН (ПРОГРАММА)</w:t>
      </w:r>
    </w:p>
    <w:p w:rsidR="00835F91" w:rsidRDefault="00835F91">
      <w:pPr>
        <w:pStyle w:val="ConsPlusTitle"/>
        <w:jc w:val="center"/>
      </w:pPr>
      <w:r>
        <w:t>ПРИВАТИЗАЦИИ ГОСУДАРСТВЕННОГО ИМУЩЕСТВА</w:t>
      </w:r>
    </w:p>
    <w:p w:rsidR="00835F91" w:rsidRDefault="00835F91">
      <w:pPr>
        <w:pStyle w:val="ConsPlusTitle"/>
        <w:jc w:val="center"/>
      </w:pPr>
      <w:r>
        <w:t>КАБАРДИНО-БАЛКАРСКОЙ РЕСПУБЛИКИ НА 2023 ГОД</w:t>
      </w: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Title"/>
        <w:jc w:val="center"/>
        <w:outlineLvl w:val="1"/>
      </w:pPr>
      <w:r>
        <w:t>Раздел I. ОСНОВНЫЕ НАПРАВЛЕНИЯ ГОСУДАРСТВЕННОЙ ПОЛИТИКИ</w:t>
      </w:r>
    </w:p>
    <w:p w:rsidR="00835F91" w:rsidRDefault="00835F91">
      <w:pPr>
        <w:pStyle w:val="ConsPlusTitle"/>
        <w:jc w:val="center"/>
      </w:pPr>
      <w:r>
        <w:t>В СФЕРЕ ПРИВАТИЗАЦИИ ГОСУДАРСТВЕННОГО ИМУЩЕСТВА НА 2023 ГОД</w:t>
      </w: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ind w:firstLine="540"/>
        <w:jc w:val="both"/>
      </w:pPr>
      <w:r>
        <w:t>1. Цели и задачи приватизации государственного имущества Кабардино-Балкарской Республики в 2023 году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 xml:space="preserve">Прогнозный план (программа) приватизации государственного имущества Кабардино-Балкарской Республики на 2023 год (далее - Прогнозный план) разработан в соответствии с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21 декабря 2001 г. N 178-ФЗ "О приватизации государственного и муниципального имущества" и </w:t>
      </w:r>
      <w:hyperlink r:id="rId7">
        <w:r>
          <w:rPr>
            <w:color w:val="0000FF"/>
          </w:rPr>
          <w:t>Законом</w:t>
        </w:r>
      </w:hyperlink>
      <w:r>
        <w:t xml:space="preserve"> Кабардино-Балкарской Республики от 28 июля 2002 г. N 49-РЗ "О приватизации государственного имущества Кабардино-Балкарской Республики".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>Приватизация государственного имущества направлена на достижение строгого соответствия состава государственного имущества функциям государства.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>Основными задачами государственной политики в сфере приватизации государственного имущества в 2023 году являются: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>проведение структурных преобразований в соответствующих отраслях экономики;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>приватизация государственного имущества, не задействованного в осуществлении государственных функций и полномочий Кабардино-Балкарской Республики;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>формирование доходов республиканского бюджета Кабардино-Балкарской Республики.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lastRenderedPageBreak/>
        <w:t>2. Прогноз влияния приватизации государственного имущества Кабардино-Балкарской Республики на структурные изменения в экономике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>Кабардино-Балкарская Республика является по состоянию на 1 июня 2022 г. собственником имущества 4 государственных предприятий Кабардино-Балкарской Республики, акционером 23 акционерных обществ.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>Распределение государственных предприятий Кабардино-Балкарской Республики по отраслям экономики представлено в таблице 1.</w:t>
      </w: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jc w:val="right"/>
        <w:outlineLvl w:val="2"/>
      </w:pPr>
      <w:r>
        <w:t>Таблица 1</w:t>
      </w:r>
    </w:p>
    <w:p w:rsidR="00835F91" w:rsidRDefault="00835F9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3"/>
        <w:gridCol w:w="3402"/>
      </w:tblGrid>
      <w:tr w:rsidR="00835F91">
        <w:tc>
          <w:tcPr>
            <w:tcW w:w="5613" w:type="dxa"/>
          </w:tcPr>
          <w:p w:rsidR="00835F91" w:rsidRDefault="00835F91">
            <w:pPr>
              <w:pStyle w:val="ConsPlusNormal"/>
              <w:ind w:left="1520"/>
            </w:pPr>
            <w:r>
              <w:t>Отрасли экономики</w:t>
            </w:r>
          </w:p>
        </w:tc>
        <w:tc>
          <w:tcPr>
            <w:tcW w:w="3402" w:type="dxa"/>
            <w:vAlign w:val="bottom"/>
          </w:tcPr>
          <w:p w:rsidR="00835F91" w:rsidRDefault="00835F91">
            <w:pPr>
              <w:pStyle w:val="ConsPlusNormal"/>
              <w:jc w:val="center"/>
            </w:pPr>
            <w:r>
              <w:t>Количество государственных предприятий</w:t>
            </w:r>
          </w:p>
        </w:tc>
      </w:tr>
      <w:tr w:rsidR="00835F91">
        <w:tc>
          <w:tcPr>
            <w:tcW w:w="5613" w:type="dxa"/>
            <w:vAlign w:val="center"/>
          </w:tcPr>
          <w:p w:rsidR="00835F91" w:rsidRDefault="00835F91">
            <w:pPr>
              <w:pStyle w:val="ConsPlusNormal"/>
            </w:pPr>
            <w:r>
              <w:t>промышленность</w:t>
            </w:r>
          </w:p>
        </w:tc>
        <w:tc>
          <w:tcPr>
            <w:tcW w:w="3402" w:type="dxa"/>
            <w:vAlign w:val="bottom"/>
          </w:tcPr>
          <w:p w:rsidR="00835F91" w:rsidRDefault="00835F91">
            <w:pPr>
              <w:pStyle w:val="ConsPlusNormal"/>
              <w:jc w:val="center"/>
            </w:pPr>
            <w:r>
              <w:t>1</w:t>
            </w:r>
          </w:p>
        </w:tc>
      </w:tr>
      <w:tr w:rsidR="00835F91">
        <w:tc>
          <w:tcPr>
            <w:tcW w:w="5613" w:type="dxa"/>
            <w:vAlign w:val="center"/>
          </w:tcPr>
          <w:p w:rsidR="00835F91" w:rsidRDefault="00835F91">
            <w:pPr>
              <w:pStyle w:val="ConsPlusNormal"/>
            </w:pPr>
            <w:r>
              <w:t>курорт, туризм</w:t>
            </w:r>
          </w:p>
        </w:tc>
        <w:tc>
          <w:tcPr>
            <w:tcW w:w="3402" w:type="dxa"/>
            <w:vAlign w:val="bottom"/>
          </w:tcPr>
          <w:p w:rsidR="00835F91" w:rsidRDefault="00835F91">
            <w:pPr>
              <w:pStyle w:val="ConsPlusNormal"/>
              <w:jc w:val="center"/>
            </w:pPr>
            <w:r>
              <w:t>2</w:t>
            </w:r>
          </w:p>
        </w:tc>
      </w:tr>
      <w:tr w:rsidR="00835F91">
        <w:tc>
          <w:tcPr>
            <w:tcW w:w="5613" w:type="dxa"/>
            <w:vAlign w:val="center"/>
          </w:tcPr>
          <w:p w:rsidR="00835F91" w:rsidRDefault="00835F91">
            <w:pPr>
              <w:pStyle w:val="ConsPlusNormal"/>
            </w:pPr>
            <w:r>
              <w:t>сельское хозяйство</w:t>
            </w:r>
          </w:p>
        </w:tc>
        <w:tc>
          <w:tcPr>
            <w:tcW w:w="3402" w:type="dxa"/>
            <w:vAlign w:val="bottom"/>
          </w:tcPr>
          <w:p w:rsidR="00835F91" w:rsidRDefault="00835F91">
            <w:pPr>
              <w:pStyle w:val="ConsPlusNormal"/>
              <w:jc w:val="center"/>
            </w:pPr>
            <w:r>
              <w:t>1</w:t>
            </w:r>
          </w:p>
        </w:tc>
      </w:tr>
      <w:tr w:rsidR="00835F91">
        <w:tc>
          <w:tcPr>
            <w:tcW w:w="5613" w:type="dxa"/>
            <w:vAlign w:val="center"/>
          </w:tcPr>
          <w:p w:rsidR="00835F91" w:rsidRDefault="00835F91">
            <w:pPr>
              <w:pStyle w:val="ConsPlusNormal"/>
            </w:pPr>
            <w:r>
              <w:t>Итого</w:t>
            </w:r>
          </w:p>
        </w:tc>
        <w:tc>
          <w:tcPr>
            <w:tcW w:w="3402" w:type="dxa"/>
            <w:vAlign w:val="center"/>
          </w:tcPr>
          <w:p w:rsidR="00835F91" w:rsidRDefault="00835F91">
            <w:pPr>
              <w:pStyle w:val="ConsPlusNormal"/>
              <w:jc w:val="center"/>
            </w:pPr>
            <w:r>
              <w:t>4</w:t>
            </w:r>
          </w:p>
        </w:tc>
      </w:tr>
    </w:tbl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ind w:firstLine="540"/>
        <w:jc w:val="both"/>
      </w:pPr>
      <w:r>
        <w:t>Распределение акционерных обществ, акции которых находятся в государственной собственности Кабардино-Балкарской Республики, по отраслям экономики представлено в таблице 2.</w:t>
      </w: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jc w:val="right"/>
        <w:outlineLvl w:val="2"/>
      </w:pPr>
      <w:r>
        <w:t>Таблица 2</w:t>
      </w:r>
    </w:p>
    <w:p w:rsidR="00835F91" w:rsidRDefault="00835F9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30"/>
        <w:gridCol w:w="3402"/>
      </w:tblGrid>
      <w:tr w:rsidR="00835F91">
        <w:tc>
          <w:tcPr>
            <w:tcW w:w="5630" w:type="dxa"/>
            <w:tcBorders>
              <w:top w:val="single" w:sz="4" w:space="0" w:color="auto"/>
              <w:bottom w:val="single" w:sz="4" w:space="0" w:color="auto"/>
            </w:tcBorders>
          </w:tcPr>
          <w:p w:rsidR="00835F91" w:rsidRDefault="00835F91">
            <w:pPr>
              <w:pStyle w:val="ConsPlusNormal"/>
              <w:jc w:val="center"/>
            </w:pPr>
            <w:r>
              <w:t>Отрасли экономики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5F91" w:rsidRDefault="00835F91">
            <w:pPr>
              <w:pStyle w:val="ConsPlusNormal"/>
              <w:jc w:val="center"/>
            </w:pPr>
            <w:r>
              <w:t>Количество акционерных обществ</w:t>
            </w:r>
          </w:p>
        </w:tc>
      </w:tr>
      <w:tr w:rsidR="00835F91">
        <w:tblPrEx>
          <w:tblBorders>
            <w:insideH w:val="none" w:sz="0" w:space="0" w:color="auto"/>
          </w:tblBorders>
        </w:tblPrEx>
        <w:tc>
          <w:tcPr>
            <w:tcW w:w="5630" w:type="dxa"/>
            <w:tcBorders>
              <w:top w:val="single" w:sz="4" w:space="0" w:color="auto"/>
              <w:bottom w:val="nil"/>
            </w:tcBorders>
            <w:vAlign w:val="center"/>
          </w:tcPr>
          <w:p w:rsidR="00835F91" w:rsidRDefault="00835F91">
            <w:pPr>
              <w:pStyle w:val="ConsPlusNormal"/>
            </w:pPr>
            <w:r>
              <w:t>промышленность и торговля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  <w:vAlign w:val="center"/>
          </w:tcPr>
          <w:p w:rsidR="00835F91" w:rsidRDefault="00835F91">
            <w:pPr>
              <w:pStyle w:val="ConsPlusNormal"/>
              <w:jc w:val="center"/>
            </w:pPr>
            <w:r>
              <w:t>4</w:t>
            </w:r>
          </w:p>
        </w:tc>
      </w:tr>
      <w:tr w:rsidR="00835F91">
        <w:tblPrEx>
          <w:tblBorders>
            <w:insideH w:val="none" w:sz="0" w:space="0" w:color="auto"/>
          </w:tblBorders>
        </w:tblPrEx>
        <w:tc>
          <w:tcPr>
            <w:tcW w:w="5630" w:type="dxa"/>
            <w:tcBorders>
              <w:top w:val="nil"/>
              <w:bottom w:val="nil"/>
            </w:tcBorders>
            <w:vAlign w:val="center"/>
          </w:tcPr>
          <w:p w:rsidR="00835F91" w:rsidRDefault="00835F91">
            <w:pPr>
              <w:pStyle w:val="ConsPlusNormal"/>
            </w:pPr>
            <w:r>
              <w:t>строительство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35F91" w:rsidRDefault="00835F91">
            <w:pPr>
              <w:pStyle w:val="ConsPlusNormal"/>
              <w:jc w:val="center"/>
            </w:pPr>
            <w:r>
              <w:t>2</w:t>
            </w:r>
          </w:p>
        </w:tc>
      </w:tr>
      <w:tr w:rsidR="00835F91">
        <w:tblPrEx>
          <w:tblBorders>
            <w:insideH w:val="none" w:sz="0" w:space="0" w:color="auto"/>
          </w:tblBorders>
        </w:tblPrEx>
        <w:tc>
          <w:tcPr>
            <w:tcW w:w="5630" w:type="dxa"/>
            <w:tcBorders>
              <w:top w:val="nil"/>
              <w:bottom w:val="nil"/>
            </w:tcBorders>
            <w:vAlign w:val="center"/>
          </w:tcPr>
          <w:p w:rsidR="00835F91" w:rsidRDefault="00835F91">
            <w:pPr>
              <w:pStyle w:val="ConsPlusNormal"/>
            </w:pPr>
            <w:r>
              <w:t>сельское хозяйство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35F91" w:rsidRDefault="00835F91">
            <w:pPr>
              <w:pStyle w:val="ConsPlusNormal"/>
              <w:jc w:val="center"/>
            </w:pPr>
            <w:r>
              <w:t>1</w:t>
            </w:r>
          </w:p>
        </w:tc>
      </w:tr>
      <w:tr w:rsidR="00835F91">
        <w:tblPrEx>
          <w:tblBorders>
            <w:insideH w:val="none" w:sz="0" w:space="0" w:color="auto"/>
          </w:tblBorders>
        </w:tblPrEx>
        <w:tc>
          <w:tcPr>
            <w:tcW w:w="5630" w:type="dxa"/>
            <w:tcBorders>
              <w:top w:val="nil"/>
              <w:bottom w:val="nil"/>
            </w:tcBorders>
            <w:vAlign w:val="center"/>
          </w:tcPr>
          <w:p w:rsidR="00835F91" w:rsidRDefault="00835F91">
            <w:pPr>
              <w:pStyle w:val="ConsPlusNormal"/>
            </w:pPr>
            <w:r>
              <w:t>курорт, туризм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35F91" w:rsidRDefault="00835F91">
            <w:pPr>
              <w:pStyle w:val="ConsPlusNormal"/>
              <w:jc w:val="center"/>
            </w:pPr>
            <w:r>
              <w:t>10</w:t>
            </w:r>
          </w:p>
        </w:tc>
      </w:tr>
      <w:tr w:rsidR="00835F91">
        <w:tblPrEx>
          <w:tblBorders>
            <w:insideH w:val="none" w:sz="0" w:space="0" w:color="auto"/>
          </w:tblBorders>
        </w:tblPrEx>
        <w:tc>
          <w:tcPr>
            <w:tcW w:w="5630" w:type="dxa"/>
            <w:tcBorders>
              <w:top w:val="nil"/>
              <w:bottom w:val="nil"/>
            </w:tcBorders>
            <w:vAlign w:val="center"/>
          </w:tcPr>
          <w:p w:rsidR="00835F91" w:rsidRDefault="00835F91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35F91" w:rsidRDefault="00835F91">
            <w:pPr>
              <w:pStyle w:val="ConsPlusNormal"/>
              <w:jc w:val="center"/>
            </w:pPr>
            <w:r>
              <w:t>2</w:t>
            </w:r>
          </w:p>
        </w:tc>
      </w:tr>
      <w:tr w:rsidR="00835F91">
        <w:tblPrEx>
          <w:tblBorders>
            <w:insideH w:val="none" w:sz="0" w:space="0" w:color="auto"/>
          </w:tblBorders>
        </w:tblPrEx>
        <w:tc>
          <w:tcPr>
            <w:tcW w:w="5630" w:type="dxa"/>
            <w:tcBorders>
              <w:top w:val="nil"/>
              <w:bottom w:val="single" w:sz="4" w:space="0" w:color="auto"/>
            </w:tcBorders>
            <w:vAlign w:val="center"/>
          </w:tcPr>
          <w:p w:rsidR="00835F91" w:rsidRDefault="00835F91">
            <w:pPr>
              <w:pStyle w:val="ConsPlusNormal"/>
            </w:pPr>
            <w:r>
              <w:t>прочие отрасли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835F91" w:rsidRDefault="00835F91">
            <w:pPr>
              <w:pStyle w:val="ConsPlusNormal"/>
              <w:jc w:val="center"/>
            </w:pPr>
            <w:r>
              <w:t>4</w:t>
            </w:r>
          </w:p>
        </w:tc>
      </w:tr>
      <w:tr w:rsidR="00835F91">
        <w:tc>
          <w:tcPr>
            <w:tcW w:w="5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5F91" w:rsidRDefault="00835F91">
            <w:pPr>
              <w:pStyle w:val="ConsPlusNormal"/>
            </w:pPr>
            <w: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5F91" w:rsidRDefault="00835F91">
            <w:pPr>
              <w:pStyle w:val="ConsPlusNormal"/>
              <w:jc w:val="center"/>
            </w:pPr>
            <w:r>
              <w:t>23</w:t>
            </w:r>
          </w:p>
        </w:tc>
      </w:tr>
    </w:tbl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ind w:firstLine="540"/>
        <w:jc w:val="both"/>
      </w:pPr>
      <w:r>
        <w:t>Распределение пакетов акций по размеру государственного пакета акций в уставном капитале акционерного общества представлено в таблице 3.</w:t>
      </w: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jc w:val="right"/>
        <w:outlineLvl w:val="2"/>
      </w:pPr>
      <w:r>
        <w:t>Таблица 3</w:t>
      </w:r>
    </w:p>
    <w:p w:rsidR="00835F91" w:rsidRDefault="00835F9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6"/>
        <w:gridCol w:w="3402"/>
      </w:tblGrid>
      <w:tr w:rsidR="00835F91">
        <w:tc>
          <w:tcPr>
            <w:tcW w:w="5616" w:type="dxa"/>
            <w:tcBorders>
              <w:top w:val="single" w:sz="4" w:space="0" w:color="auto"/>
              <w:bottom w:val="single" w:sz="4" w:space="0" w:color="auto"/>
            </w:tcBorders>
          </w:tcPr>
          <w:p w:rsidR="00835F91" w:rsidRDefault="00835F91">
            <w:pPr>
              <w:pStyle w:val="ConsPlusNormal"/>
              <w:jc w:val="center"/>
            </w:pPr>
            <w:r>
              <w:t>Доля находящихся в государственной собственности акций акционерных обществ (процентов уставного капитала)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35F91" w:rsidRDefault="00835F91">
            <w:pPr>
              <w:pStyle w:val="ConsPlusNormal"/>
              <w:jc w:val="center"/>
            </w:pPr>
            <w:r>
              <w:t>Количество акционерных обществ</w:t>
            </w:r>
          </w:p>
        </w:tc>
      </w:tr>
      <w:tr w:rsidR="00835F91">
        <w:tblPrEx>
          <w:tblBorders>
            <w:insideH w:val="none" w:sz="0" w:space="0" w:color="auto"/>
          </w:tblBorders>
        </w:tblPrEx>
        <w:tc>
          <w:tcPr>
            <w:tcW w:w="5616" w:type="dxa"/>
            <w:tcBorders>
              <w:top w:val="single" w:sz="4" w:space="0" w:color="auto"/>
              <w:bottom w:val="nil"/>
            </w:tcBorders>
            <w:vAlign w:val="center"/>
          </w:tcPr>
          <w:p w:rsidR="00835F91" w:rsidRDefault="00835F91">
            <w:pPr>
              <w:pStyle w:val="ConsPlusNormal"/>
            </w:pPr>
            <w:r>
              <w:t>100 процентов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  <w:vAlign w:val="center"/>
          </w:tcPr>
          <w:p w:rsidR="00835F91" w:rsidRDefault="00835F91">
            <w:pPr>
              <w:pStyle w:val="ConsPlusNormal"/>
              <w:jc w:val="center"/>
            </w:pPr>
            <w:r>
              <w:t>13</w:t>
            </w:r>
          </w:p>
        </w:tc>
      </w:tr>
      <w:tr w:rsidR="00835F91">
        <w:tblPrEx>
          <w:tblBorders>
            <w:insideH w:val="none" w:sz="0" w:space="0" w:color="auto"/>
          </w:tblBorders>
        </w:tblPrEx>
        <w:tc>
          <w:tcPr>
            <w:tcW w:w="5616" w:type="dxa"/>
            <w:tcBorders>
              <w:top w:val="nil"/>
              <w:bottom w:val="nil"/>
            </w:tcBorders>
          </w:tcPr>
          <w:p w:rsidR="00835F91" w:rsidRDefault="00835F91">
            <w:pPr>
              <w:pStyle w:val="ConsPlusNormal"/>
            </w:pPr>
            <w:r>
              <w:t>от 50 до 100 процентов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835F91" w:rsidRDefault="00835F91">
            <w:pPr>
              <w:pStyle w:val="ConsPlusNormal"/>
              <w:jc w:val="center"/>
            </w:pPr>
            <w:r>
              <w:t>4</w:t>
            </w:r>
          </w:p>
        </w:tc>
      </w:tr>
      <w:tr w:rsidR="00835F91">
        <w:tblPrEx>
          <w:tblBorders>
            <w:insideH w:val="none" w:sz="0" w:space="0" w:color="auto"/>
          </w:tblBorders>
        </w:tblPrEx>
        <w:tc>
          <w:tcPr>
            <w:tcW w:w="5616" w:type="dxa"/>
            <w:tcBorders>
              <w:top w:val="nil"/>
              <w:bottom w:val="nil"/>
            </w:tcBorders>
          </w:tcPr>
          <w:p w:rsidR="00835F91" w:rsidRDefault="00835F91">
            <w:pPr>
              <w:pStyle w:val="ConsPlusNormal"/>
            </w:pPr>
            <w:r>
              <w:t>от 25 до 50 процентов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835F91" w:rsidRDefault="00835F91">
            <w:pPr>
              <w:pStyle w:val="ConsPlusNormal"/>
              <w:jc w:val="center"/>
            </w:pPr>
            <w:r>
              <w:t>4</w:t>
            </w:r>
          </w:p>
        </w:tc>
      </w:tr>
      <w:tr w:rsidR="00835F91">
        <w:tblPrEx>
          <w:tblBorders>
            <w:insideH w:val="none" w:sz="0" w:space="0" w:color="auto"/>
          </w:tblBorders>
        </w:tblPrEx>
        <w:tc>
          <w:tcPr>
            <w:tcW w:w="5616" w:type="dxa"/>
            <w:tcBorders>
              <w:top w:val="nil"/>
              <w:bottom w:val="single" w:sz="4" w:space="0" w:color="auto"/>
            </w:tcBorders>
            <w:vAlign w:val="center"/>
          </w:tcPr>
          <w:p w:rsidR="00835F91" w:rsidRDefault="00835F91">
            <w:pPr>
              <w:pStyle w:val="ConsPlusNormal"/>
            </w:pPr>
            <w:r>
              <w:t>менее 25 процентов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835F91" w:rsidRDefault="00835F91">
            <w:pPr>
              <w:pStyle w:val="ConsPlusNormal"/>
              <w:jc w:val="center"/>
            </w:pPr>
            <w:r>
              <w:t>2</w:t>
            </w:r>
          </w:p>
        </w:tc>
      </w:tr>
    </w:tbl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ind w:firstLine="540"/>
        <w:jc w:val="both"/>
      </w:pPr>
      <w:r>
        <w:lastRenderedPageBreak/>
        <w:t>Приватизация имущества казны Кабардино-Балкарской Республики, включенного в Прогнозный план, существенного влияния на структурные изменения в экономике Кабардино-Балкарской Республики не окажет.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>3. Прогноз размеров поступлений в республиканский бюджет Кабардино-Балкарской Республики от продажи государственного имущества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>Исходя из оценки прогнозируемой стоимости предлагаемых к приватизации объектов в 2023 году, ожидаются поступления в республиканский бюджет Кабардино-Балкарской Республики от продажи активов, имущественных комплексов и недвижимого имущества в размере 151,0 тыс. рублей.</w:t>
      </w:r>
    </w:p>
    <w:p w:rsidR="00835F91" w:rsidRDefault="00835F91">
      <w:pPr>
        <w:pStyle w:val="ConsPlusNormal"/>
        <w:spacing w:before="200"/>
        <w:ind w:firstLine="540"/>
        <w:jc w:val="both"/>
      </w:pPr>
      <w:r>
        <w:t>Прогноз доходов от продажи государственного имущества может быть скорректирован в случае принятия Правительством Кабардино-Балкарской Республики решений о приватизации объектов государственного имущества либо исключении их из Прогнозного плана.</w:t>
      </w: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Title"/>
        <w:jc w:val="center"/>
        <w:outlineLvl w:val="1"/>
      </w:pPr>
      <w:r>
        <w:t>Раздел II. ГОСУДАРСТВЕННОЕ ИМУЩЕСТВО</w:t>
      </w:r>
    </w:p>
    <w:p w:rsidR="00835F91" w:rsidRDefault="00835F91">
      <w:pPr>
        <w:pStyle w:val="ConsPlusTitle"/>
        <w:jc w:val="center"/>
      </w:pPr>
      <w:r>
        <w:t>КАБАРДИНО-БАЛКАРСКОЙ РЕСПУБЛИКИ, ПРИВАТИЗАЦИЯ</w:t>
      </w:r>
    </w:p>
    <w:p w:rsidR="00835F91" w:rsidRDefault="00835F91">
      <w:pPr>
        <w:pStyle w:val="ConsPlusTitle"/>
        <w:jc w:val="center"/>
      </w:pPr>
      <w:r>
        <w:t>КОТОРОГО ПЛАНИРУЕТСЯ В 2023 ГОДУ</w:t>
      </w: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Title"/>
        <w:jc w:val="center"/>
        <w:outlineLvl w:val="2"/>
      </w:pPr>
      <w:r>
        <w:t>Перечень иного имущества,</w:t>
      </w:r>
    </w:p>
    <w:p w:rsidR="00835F91" w:rsidRDefault="00835F91">
      <w:pPr>
        <w:pStyle w:val="ConsPlusTitle"/>
        <w:jc w:val="center"/>
      </w:pPr>
      <w:r>
        <w:t>планируемого к приватизации</w:t>
      </w:r>
    </w:p>
    <w:p w:rsidR="00835F91" w:rsidRDefault="00835F9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2835"/>
        <w:gridCol w:w="1925"/>
        <w:gridCol w:w="1416"/>
        <w:gridCol w:w="2154"/>
      </w:tblGrid>
      <w:tr w:rsidR="00835F91">
        <w:tc>
          <w:tcPr>
            <w:tcW w:w="710" w:type="dxa"/>
          </w:tcPr>
          <w:p w:rsidR="00835F91" w:rsidRDefault="00835F91">
            <w:pPr>
              <w:pStyle w:val="ConsPlusNormal"/>
              <w:jc w:val="center"/>
            </w:pPr>
            <w:r>
              <w:t>N</w:t>
            </w:r>
          </w:p>
          <w:p w:rsidR="00835F91" w:rsidRDefault="00835F9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835" w:type="dxa"/>
          </w:tcPr>
          <w:p w:rsidR="00835F91" w:rsidRDefault="00835F91">
            <w:pPr>
              <w:pStyle w:val="ConsPlusNormal"/>
              <w:jc w:val="center"/>
            </w:pPr>
            <w:r>
              <w:t>Наименование объекта, кадастровый номер, назначение</w:t>
            </w:r>
          </w:p>
        </w:tc>
        <w:tc>
          <w:tcPr>
            <w:tcW w:w="1925" w:type="dxa"/>
          </w:tcPr>
          <w:p w:rsidR="00835F91" w:rsidRDefault="00835F91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1416" w:type="dxa"/>
          </w:tcPr>
          <w:p w:rsidR="00835F91" w:rsidRDefault="00835F91">
            <w:pPr>
              <w:pStyle w:val="ConsPlusNormal"/>
              <w:jc w:val="center"/>
            </w:pPr>
            <w:r>
              <w:t>Площадь объекта,</w:t>
            </w:r>
          </w:p>
          <w:p w:rsidR="00835F91" w:rsidRDefault="00835F9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154" w:type="dxa"/>
          </w:tcPr>
          <w:p w:rsidR="00835F91" w:rsidRDefault="00835F91">
            <w:pPr>
              <w:pStyle w:val="ConsPlusNormal"/>
              <w:jc w:val="center"/>
            </w:pPr>
            <w:r>
              <w:t>Площадь земельного участка, кв. м</w:t>
            </w:r>
          </w:p>
        </w:tc>
      </w:tr>
      <w:tr w:rsidR="00835F91">
        <w:tc>
          <w:tcPr>
            <w:tcW w:w="710" w:type="dxa"/>
          </w:tcPr>
          <w:p w:rsidR="00835F91" w:rsidRDefault="00835F9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35" w:type="dxa"/>
          </w:tcPr>
          <w:p w:rsidR="00835F91" w:rsidRDefault="00835F91">
            <w:pPr>
              <w:pStyle w:val="ConsPlusNormal"/>
            </w:pPr>
            <w:r>
              <w:t>Склад ВМ, 07:09:0101021:507,</w:t>
            </w:r>
          </w:p>
          <w:p w:rsidR="00835F91" w:rsidRDefault="00835F91">
            <w:pPr>
              <w:pStyle w:val="ConsPlusNormal"/>
            </w:pPr>
            <w:r>
              <w:t>нежилое</w:t>
            </w:r>
          </w:p>
        </w:tc>
        <w:tc>
          <w:tcPr>
            <w:tcW w:w="1925" w:type="dxa"/>
          </w:tcPr>
          <w:p w:rsidR="00835F91" w:rsidRDefault="00835F91">
            <w:pPr>
              <w:pStyle w:val="ConsPlusNormal"/>
              <w:jc w:val="center"/>
            </w:pPr>
            <w:r>
              <w:t>г. Нальчик,</w:t>
            </w:r>
          </w:p>
          <w:p w:rsidR="00835F91" w:rsidRDefault="00835F91">
            <w:pPr>
              <w:pStyle w:val="ConsPlusNormal"/>
              <w:jc w:val="center"/>
            </w:pPr>
            <w:r>
              <w:t>ул. Калинина,</w:t>
            </w:r>
          </w:p>
          <w:p w:rsidR="00835F91" w:rsidRDefault="00835F91">
            <w:pPr>
              <w:pStyle w:val="ConsPlusNormal"/>
              <w:jc w:val="center"/>
            </w:pPr>
            <w:r>
              <w:t>262/1</w:t>
            </w:r>
          </w:p>
        </w:tc>
        <w:tc>
          <w:tcPr>
            <w:tcW w:w="1416" w:type="dxa"/>
          </w:tcPr>
          <w:p w:rsidR="00835F91" w:rsidRDefault="00835F91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2154" w:type="dxa"/>
          </w:tcPr>
          <w:p w:rsidR="00835F91" w:rsidRDefault="00835F91">
            <w:pPr>
              <w:pStyle w:val="ConsPlusNormal"/>
              <w:jc w:val="center"/>
            </w:pPr>
            <w:r>
              <w:t>452,0</w:t>
            </w:r>
          </w:p>
        </w:tc>
      </w:tr>
    </w:tbl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jc w:val="both"/>
      </w:pPr>
    </w:p>
    <w:p w:rsidR="00835F91" w:rsidRDefault="00835F9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0FEF" w:rsidRDefault="00260FEF"/>
    <w:sectPr w:rsidR="00260FEF" w:rsidSect="00EA6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F91"/>
    <w:rsid w:val="00260FEF"/>
    <w:rsid w:val="00835F91"/>
    <w:rsid w:val="00A5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F7FD1"/>
  <w15:chartTrackingRefBased/>
  <w15:docId w15:val="{45E5A856-7B19-4AB4-9289-A997F6EEF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F9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35F9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835F9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7AFE8A50E126B709921DA64A3F550C422B3649A040AB57A7A9BE6C561DFFF9B1998A05122B7A4BDC2A2EA9FE24B6EBA7j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7AFE8A50E126B7099203AB5C53080142226A45A444A601FCF6E5310114F5AEE4D68B59577E694BDC2A2DA9E2A2j4I" TargetMode="External"/><Relationship Id="rId5" Type="http://schemas.openxmlformats.org/officeDocument/2006/relationships/hyperlink" Target="consultantplus://offline/ref=F67AFE8A50E126B709921DA64A3F550C422B3649A040AB57A7A9BE6C561DFFF9B1998A171273764ADC322DABEB72E7AD29FB26FF143F4808351293A0jC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814</Words>
  <Characters>4643</Characters>
  <Application>Microsoft Office Word</Application>
  <DocSecurity>0</DocSecurity>
  <Lines>38</Lines>
  <Paragraphs>10</Paragraphs>
  <ScaleCrop>false</ScaleCrop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ДОХ Шинахов Астемир  138</dc:creator>
  <cp:keywords/>
  <dc:description/>
  <cp:lastModifiedBy>СОБП Мокаева Лейла 208</cp:lastModifiedBy>
  <cp:revision>2</cp:revision>
  <dcterms:created xsi:type="dcterms:W3CDTF">2022-10-10T08:35:00Z</dcterms:created>
  <dcterms:modified xsi:type="dcterms:W3CDTF">2022-10-21T07:22:00Z</dcterms:modified>
</cp:coreProperties>
</file>